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9744" w14:textId="77777777" w:rsidR="00BB3FD6" w:rsidRDefault="00D35454">
      <w:pPr>
        <w:widowControl w:val="0"/>
        <w:ind w:left="751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14:paraId="605EF1AE" w14:textId="77777777" w:rsidR="00BB3FD6" w:rsidRDefault="00D35454">
      <w:pPr>
        <w:widowControl w:val="0"/>
        <w:ind w:left="7513"/>
        <w:jc w:val="both"/>
        <w:rPr>
          <w:bCs/>
          <w:lang w:eastAsia="lt-LT"/>
        </w:rPr>
      </w:pPr>
      <w:r>
        <w:rPr>
          <w:szCs w:val="24"/>
          <w:lang w:eastAsia="lt-LT"/>
        </w:rPr>
        <w:t>18</w:t>
      </w:r>
      <w:r>
        <w:rPr>
          <w:bCs/>
          <w:lang w:eastAsia="lt-LT"/>
        </w:rPr>
        <w:t xml:space="preserve"> priedas</w:t>
      </w:r>
    </w:p>
    <w:p w14:paraId="356A8238" w14:textId="77777777" w:rsidR="00BB3FD6" w:rsidRDefault="00BB3FD6">
      <w:pPr>
        <w:ind w:firstLine="312"/>
        <w:jc w:val="center"/>
        <w:rPr>
          <w:b/>
          <w:bCs/>
          <w:caps/>
          <w:sz w:val="20"/>
        </w:rPr>
      </w:pPr>
    </w:p>
    <w:p w14:paraId="5212684C" w14:textId="77777777" w:rsidR="00BB3FD6" w:rsidRDefault="00D35454">
      <w:pPr>
        <w:ind w:firstLine="312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________________________________________________________________________________________</w:t>
      </w:r>
    </w:p>
    <w:p w14:paraId="2738102A" w14:textId="77777777" w:rsidR="00BB3FD6" w:rsidRDefault="00D35454">
      <w:pPr>
        <w:ind w:firstLine="53"/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(juridinio asmens pavadinimas, kodas, buveinės adresas (jeigu paslaugų teikėjas yra fizinis </w:t>
      </w:r>
    </w:p>
    <w:p w14:paraId="2CD0EBF5" w14:textId="77777777" w:rsidR="00BB3FD6" w:rsidRDefault="00D3545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asmuo, pateikiamas vardas, pavardė, asmens kodas, adresas))</w:t>
      </w:r>
    </w:p>
    <w:p w14:paraId="65F8E188" w14:textId="77777777" w:rsidR="00BB3FD6" w:rsidRDefault="00BB3FD6">
      <w:pPr>
        <w:jc w:val="center"/>
        <w:rPr>
          <w:sz w:val="20"/>
          <w:lang w:eastAsia="lt-LT"/>
        </w:rPr>
      </w:pPr>
    </w:p>
    <w:p w14:paraId="17F0FBD8" w14:textId="77777777" w:rsidR="00BB3FD6" w:rsidRDefault="00D3545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______________________________________________________________________________________</w:t>
      </w:r>
    </w:p>
    <w:p w14:paraId="12FA545B" w14:textId="77777777" w:rsidR="00BB3FD6" w:rsidRDefault="00D3545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ar fizinio asmens telefono numeris, el. pašto adresas, interneto svetainės adresas)</w:t>
      </w:r>
    </w:p>
    <w:p w14:paraId="2882D418" w14:textId="77777777" w:rsidR="00BB3FD6" w:rsidRDefault="00BB3FD6">
      <w:pPr>
        <w:jc w:val="center"/>
        <w:rPr>
          <w:b/>
          <w:sz w:val="20"/>
          <w:lang w:eastAsia="lt-LT"/>
        </w:rPr>
      </w:pPr>
    </w:p>
    <w:p w14:paraId="3E0F5690" w14:textId="77777777" w:rsidR="00BB3FD6" w:rsidRDefault="00D35454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14:paraId="6D78B4D7" w14:textId="77777777" w:rsidR="00BB3FD6" w:rsidRDefault="00D35454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14:paraId="4ABE96D6" w14:textId="77777777" w:rsidR="00BB3FD6" w:rsidRDefault="00BB3FD6">
      <w:pPr>
        <w:widowControl w:val="0"/>
        <w:jc w:val="center"/>
        <w:rPr>
          <w:b/>
          <w:bCs/>
          <w:caps/>
          <w:sz w:val="20"/>
        </w:rPr>
      </w:pPr>
    </w:p>
    <w:p w14:paraId="0CAD7DF7" w14:textId="77777777" w:rsidR="00BB3FD6" w:rsidRDefault="00D35454">
      <w:pPr>
        <w:widowControl w:val="0"/>
        <w:jc w:val="center"/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>ATASKAITA APIE FINANSINIUS REZULTATUS</w:t>
      </w:r>
    </w:p>
    <w:p w14:paraId="76C6279F" w14:textId="77777777" w:rsidR="00BB3FD6" w:rsidRDefault="00BB3FD6">
      <w:pPr>
        <w:widowControl w:val="0"/>
        <w:jc w:val="center"/>
        <w:rPr>
          <w:b/>
          <w:bCs/>
          <w:sz w:val="20"/>
          <w:lang w:eastAsia="lt-LT"/>
        </w:rPr>
      </w:pPr>
    </w:p>
    <w:p w14:paraId="2AEAF620" w14:textId="77777777" w:rsidR="00BB3FD6" w:rsidRDefault="00D35454">
      <w:pPr>
        <w:widowControl w:val="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už ____________ m. __________ ketvirtį</w:t>
      </w:r>
    </w:p>
    <w:p w14:paraId="12F0EABE" w14:textId="77777777" w:rsidR="00BB3FD6" w:rsidRDefault="00BB3FD6">
      <w:pPr>
        <w:widowControl w:val="0"/>
        <w:jc w:val="center"/>
        <w:rPr>
          <w:b/>
          <w:bCs/>
          <w:sz w:val="20"/>
          <w:lang w:eastAsia="lt-LT"/>
        </w:rPr>
      </w:pPr>
    </w:p>
    <w:p w14:paraId="3F6A2895" w14:textId="77777777" w:rsidR="00BB3FD6" w:rsidRDefault="00BB3FD6">
      <w:pPr>
        <w:widowControl w:val="0"/>
        <w:jc w:val="center"/>
        <w:rPr>
          <w:b/>
          <w:bCs/>
          <w:sz w:val="20"/>
          <w:lang w:eastAsia="lt-LT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92"/>
        <w:gridCol w:w="10476"/>
        <w:gridCol w:w="3073"/>
      </w:tblGrid>
      <w:tr w:rsidR="00BB3FD6" w14:paraId="23174F0D" w14:textId="7777777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A3A063" w14:textId="77777777" w:rsidR="00BB3FD6" w:rsidRDefault="00D35454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Eil. Nr.</w: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4CE203" w14:textId="77777777" w:rsidR="00BB3FD6" w:rsidRDefault="00D35454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Rodiklio pavadinimas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6415" w14:textId="77777777" w:rsidR="00BB3FD6" w:rsidRDefault="00D35454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Reikšmė</w:t>
            </w:r>
          </w:p>
        </w:tc>
      </w:tr>
      <w:tr w:rsidR="00BB3FD6" w14:paraId="0CE318E6" w14:textId="7777777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405BE5" w14:textId="77777777" w:rsidR="00BB3FD6" w:rsidRDefault="00D35454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12468B" w14:textId="77777777" w:rsidR="00BB3FD6" w:rsidRDefault="00D35454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Bendros pajamos, gautos iš komercinių audiovizualinių pranešimų, reklamos, abonementinio mokesčio ir kitos veiklos, susijusios su radijo ir </w:t>
            </w:r>
            <w:r>
              <w:rPr>
                <w:sz w:val="20"/>
                <w:lang w:eastAsia="lt-LT"/>
              </w:rPr>
              <w:t>(ar) televizijos programų transliavimu, retransliavimu, televizijos programų ir (ar) atskirų programų platinimo internete, užsakomosiomis audiovizualinės žiniasklaidos paslaugomis ir (ar) dalijimosi vaizdo medžiaga platformos paslaugomis, iš viso, Eur (be PVM)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2920FB" w14:textId="77777777" w:rsidR="00BB3FD6" w:rsidRDefault="00BB3FD6">
            <w:pPr>
              <w:widowControl w:val="0"/>
              <w:rPr>
                <w:sz w:val="20"/>
                <w:lang w:eastAsia="lt-LT"/>
              </w:rPr>
            </w:pPr>
          </w:p>
        </w:tc>
      </w:tr>
      <w:tr w:rsidR="00BB3FD6" w14:paraId="1D784C91" w14:textId="7777777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3EEF9D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C7B65DA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Iš jų pajamos iš komercinių audiovizualinių pranešimų ir reklamos, Eur (be PVM)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FF33F0" w14:textId="77777777" w:rsidR="00BB3FD6" w:rsidRDefault="00BB3FD6">
            <w:pPr>
              <w:widowControl w:val="0"/>
              <w:rPr>
                <w:sz w:val="20"/>
                <w:lang w:eastAsia="lt-LT"/>
              </w:rPr>
            </w:pPr>
          </w:p>
        </w:tc>
      </w:tr>
      <w:tr w:rsidR="00BB3FD6" w14:paraId="513E45F5" w14:textId="7777777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1E0A01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728C19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Bendras abonentų, paslaugų vartotojų skaičius, vnt.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757CB6" w14:textId="77777777" w:rsidR="00BB3FD6" w:rsidRDefault="00BB3FD6">
            <w:pPr>
              <w:widowControl w:val="0"/>
              <w:rPr>
                <w:sz w:val="20"/>
                <w:lang w:eastAsia="lt-LT"/>
              </w:rPr>
            </w:pPr>
          </w:p>
        </w:tc>
      </w:tr>
      <w:tr w:rsidR="00BB3FD6" w14:paraId="64E9B1C2" w14:textId="7777777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0E9ACC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55794D" w14:textId="77777777" w:rsidR="00BB3FD6" w:rsidRDefault="00D35454">
            <w:pPr>
              <w:widowControl w:val="0"/>
              <w:tabs>
                <w:tab w:val="left" w:pos="1296"/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Iš jų televizijos programų ir (ar) atskirų programų platinimo internete paslaugų vartotojų </w:t>
            </w:r>
            <w:r>
              <w:rPr>
                <w:sz w:val="20"/>
              </w:rPr>
              <w:t>skaičius, vnt. *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1B35BF" w14:textId="77777777" w:rsidR="00BB3FD6" w:rsidRDefault="00BB3FD6">
            <w:pPr>
              <w:widowControl w:val="0"/>
              <w:rPr>
                <w:sz w:val="20"/>
                <w:lang w:eastAsia="lt-LT"/>
              </w:rPr>
            </w:pPr>
          </w:p>
        </w:tc>
      </w:tr>
    </w:tbl>
    <w:p w14:paraId="7455435A" w14:textId="77777777" w:rsidR="00BB3FD6" w:rsidRDefault="00BB3FD6">
      <w:pPr>
        <w:widowControl w:val="0"/>
        <w:jc w:val="center"/>
        <w:rPr>
          <w:b/>
          <w:bCs/>
          <w:sz w:val="20"/>
          <w:lang w:eastAsia="lt-LT"/>
        </w:rPr>
      </w:pPr>
    </w:p>
    <w:p w14:paraId="0605D8C6" w14:textId="77777777" w:rsidR="00BB3FD6" w:rsidRDefault="00BB3FD6">
      <w:pPr>
        <w:jc w:val="both"/>
        <w:rPr>
          <w:bCs/>
          <w:sz w:val="20"/>
          <w:lang w:eastAsia="lt-LT"/>
        </w:rPr>
      </w:pPr>
    </w:p>
    <w:p w14:paraId="2959C7D2" w14:textId="77777777" w:rsidR="00BB3FD6" w:rsidRDefault="00BB3FD6">
      <w:pPr>
        <w:jc w:val="both"/>
        <w:rPr>
          <w:bCs/>
          <w:sz w:val="20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BB3FD6" w14:paraId="06ABE5BA" w14:textId="77777777">
        <w:tc>
          <w:tcPr>
            <w:tcW w:w="4664" w:type="dxa"/>
          </w:tcPr>
          <w:p w14:paraId="74539D5A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__________________________</w:t>
            </w:r>
          </w:p>
        </w:tc>
        <w:tc>
          <w:tcPr>
            <w:tcW w:w="4664" w:type="dxa"/>
          </w:tcPr>
          <w:p w14:paraId="46C86C46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_______________</w:t>
            </w:r>
          </w:p>
        </w:tc>
        <w:tc>
          <w:tcPr>
            <w:tcW w:w="4665" w:type="dxa"/>
          </w:tcPr>
          <w:p w14:paraId="11EE8689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_______________________________</w:t>
            </w:r>
          </w:p>
        </w:tc>
      </w:tr>
      <w:tr w:rsidR="00BB3FD6" w14:paraId="355E89CA" w14:textId="77777777">
        <w:tc>
          <w:tcPr>
            <w:tcW w:w="4664" w:type="dxa"/>
          </w:tcPr>
          <w:p w14:paraId="0B98CDA4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(pareigos)</w:t>
            </w:r>
          </w:p>
        </w:tc>
        <w:tc>
          <w:tcPr>
            <w:tcW w:w="4664" w:type="dxa"/>
          </w:tcPr>
          <w:p w14:paraId="0015C17B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(parašas)</w:t>
            </w:r>
          </w:p>
        </w:tc>
        <w:tc>
          <w:tcPr>
            <w:tcW w:w="4665" w:type="dxa"/>
          </w:tcPr>
          <w:p w14:paraId="5DAC484D" w14:textId="77777777" w:rsidR="00BB3FD6" w:rsidRDefault="00D35454">
            <w:pPr>
              <w:jc w:val="center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(vardas, pavardė)</w:t>
            </w:r>
          </w:p>
        </w:tc>
      </w:tr>
    </w:tbl>
    <w:p w14:paraId="06D8ED5E" w14:textId="77777777" w:rsidR="00BB3FD6" w:rsidRDefault="00BB3FD6">
      <w:pPr>
        <w:jc w:val="both"/>
        <w:rPr>
          <w:bCs/>
          <w:sz w:val="20"/>
          <w:lang w:eastAsia="lt-LT"/>
        </w:rPr>
      </w:pPr>
    </w:p>
    <w:p w14:paraId="4B16E09A" w14:textId="77777777" w:rsidR="00BB3FD6" w:rsidRDefault="00BB3FD6">
      <w:pPr>
        <w:jc w:val="both"/>
        <w:rPr>
          <w:bCs/>
          <w:sz w:val="20"/>
          <w:lang w:eastAsia="lt-LT"/>
        </w:rPr>
      </w:pPr>
    </w:p>
    <w:p w14:paraId="47B3494A" w14:textId="77777777" w:rsidR="00BB3FD6" w:rsidRDefault="00BB3FD6">
      <w:pPr>
        <w:jc w:val="both"/>
        <w:rPr>
          <w:bCs/>
          <w:sz w:val="20"/>
          <w:lang w:eastAsia="lt-LT"/>
        </w:rPr>
      </w:pPr>
    </w:p>
    <w:p w14:paraId="440F7173" w14:textId="77777777" w:rsidR="00BB3FD6" w:rsidRDefault="00BB3FD6">
      <w:pPr>
        <w:rPr>
          <w:bCs/>
          <w:sz w:val="20"/>
          <w:lang w:eastAsia="lt-LT"/>
        </w:rPr>
      </w:pPr>
    </w:p>
    <w:p w14:paraId="1F803341" w14:textId="77777777" w:rsidR="00BB3FD6" w:rsidRDefault="00D35454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* Pildoma, jei yra teikiamos televizijos programų ir (ar) atskirų programų platinimo internete paslaugos</w:t>
      </w:r>
    </w:p>
    <w:p w14:paraId="143AFC5D" w14:textId="77777777" w:rsidR="00BB3FD6" w:rsidRDefault="00BB3FD6">
      <w:pPr>
        <w:jc w:val="center"/>
        <w:rPr>
          <w:bCs/>
          <w:sz w:val="20"/>
          <w:lang w:eastAsia="lt-LT"/>
        </w:rPr>
      </w:pPr>
    </w:p>
    <w:p w14:paraId="35F034A8" w14:textId="77777777" w:rsidR="00BB3FD6" w:rsidRDefault="00D35454">
      <w:pPr>
        <w:jc w:val="center"/>
      </w:pPr>
      <w:r>
        <w:rPr>
          <w:bCs/>
          <w:sz w:val="20"/>
          <w:lang w:eastAsia="lt-LT"/>
        </w:rPr>
        <w:t>_____________________________________</w:t>
      </w:r>
    </w:p>
    <w:p w14:paraId="5B20E5B3" w14:textId="77777777" w:rsidR="00BB3FD6" w:rsidRDefault="00D35454">
      <w:pPr>
        <w:rPr>
          <w:rFonts w:ascii="Arial" w:eastAsia="MS Mincho" w:hAnsi="Arial"/>
          <w:i/>
          <w:iCs/>
          <w:sz w:val="20"/>
        </w:rPr>
      </w:pPr>
      <w:r>
        <w:rPr>
          <w:rFonts w:ascii="Arial" w:eastAsia="MS Mincho" w:hAnsi="Arial"/>
          <w:i/>
          <w:iCs/>
          <w:sz w:val="20"/>
        </w:rPr>
        <w:t>Priedo pakeitimai:</w:t>
      </w:r>
    </w:p>
    <w:p w14:paraId="1818E79C" w14:textId="77777777" w:rsidR="00BB3FD6" w:rsidRDefault="00D35454">
      <w:pPr>
        <w:jc w:val="both"/>
        <w:rPr>
          <w:rFonts w:ascii="Arial" w:eastAsia="MS Mincho" w:hAnsi="Arial"/>
          <w:i/>
          <w:iCs/>
          <w:sz w:val="20"/>
        </w:rPr>
      </w:pPr>
      <w:r>
        <w:rPr>
          <w:rFonts w:ascii="Arial" w:eastAsia="MS Mincho" w:hAnsi="Arial"/>
          <w:i/>
          <w:iCs/>
          <w:sz w:val="20"/>
        </w:rPr>
        <w:t xml:space="preserve">Nr. </w:t>
      </w:r>
      <w:hyperlink r:id="rId7" w:history="1">
        <w:r w:rsidRPr="00532B9F">
          <w:rPr>
            <w:rFonts w:ascii="Arial" w:eastAsia="MS Mincho" w:hAnsi="Arial"/>
            <w:i/>
            <w:iCs/>
            <w:color w:val="0000FF" w:themeColor="hyperlink"/>
            <w:sz w:val="20"/>
            <w:u w:val="single"/>
          </w:rPr>
          <w:t>KS-98</w:t>
        </w:r>
      </w:hyperlink>
      <w:r>
        <w:rPr>
          <w:rFonts w:ascii="Arial" w:eastAsia="MS Mincho" w:hAnsi="Arial"/>
          <w:i/>
          <w:iCs/>
          <w:sz w:val="20"/>
        </w:rPr>
        <w:t xml:space="preserve">, 2022-09-07, paskelbta TAR 2022-09-07, i. k. </w:t>
      </w:r>
      <w:r>
        <w:rPr>
          <w:rFonts w:ascii="Arial" w:eastAsia="MS Mincho" w:hAnsi="Arial"/>
          <w:i/>
          <w:iCs/>
          <w:sz w:val="20"/>
        </w:rPr>
        <w:t>2022-18447</w:t>
      </w:r>
    </w:p>
    <w:p w14:paraId="0E7A0E83" w14:textId="77777777" w:rsidR="00BB3FD6" w:rsidRDefault="00D35454">
      <w:pPr>
        <w:jc w:val="both"/>
        <w:rPr>
          <w:rFonts w:ascii="Arial" w:eastAsia="MS Mincho" w:hAnsi="Arial"/>
          <w:i/>
          <w:iCs/>
          <w:sz w:val="20"/>
        </w:rPr>
      </w:pPr>
      <w:r>
        <w:rPr>
          <w:rFonts w:ascii="Arial" w:eastAsia="MS Mincho" w:hAnsi="Arial"/>
          <w:i/>
          <w:iCs/>
          <w:sz w:val="20"/>
        </w:rPr>
        <w:t xml:space="preserve">Nr. </w:t>
      </w:r>
      <w:hyperlink r:id="rId8" w:history="1">
        <w:r w:rsidRPr="00532B9F">
          <w:rPr>
            <w:rFonts w:ascii="Arial" w:eastAsia="MS Mincho" w:hAnsi="Arial"/>
            <w:i/>
            <w:iCs/>
            <w:color w:val="0000FF" w:themeColor="hyperlink"/>
            <w:sz w:val="20"/>
            <w:u w:val="single"/>
          </w:rPr>
          <w:t>KS-104</w:t>
        </w:r>
      </w:hyperlink>
      <w:r>
        <w:rPr>
          <w:rFonts w:ascii="Arial" w:eastAsia="MS Mincho" w:hAnsi="Arial"/>
          <w:i/>
          <w:iCs/>
          <w:sz w:val="20"/>
        </w:rPr>
        <w:t>, 2024-05-15, paskelbta TAR 2024-05-15, i. k. 2024-08898</w:t>
      </w:r>
    </w:p>
    <w:p w14:paraId="1D88DD9E" w14:textId="77777777" w:rsidR="00BB3FD6" w:rsidRDefault="00BB3FD6" w:rsidP="00D35454">
      <w:pPr>
        <w:widowControl w:val="0"/>
        <w:rPr>
          <w:rFonts w:ascii="Arial" w:hAnsi="Arial"/>
          <w:snapToGrid w:val="0"/>
        </w:rPr>
      </w:pPr>
    </w:p>
    <w:sectPr w:rsidR="00BB3FD6" w:rsidSect="00D35454">
      <w:headerReference w:type="default" r:id="rId9"/>
      <w:pgSz w:w="16838" w:h="11906" w:orient="landscape"/>
      <w:pgMar w:top="992" w:right="1247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269E" w14:textId="77777777" w:rsidR="00BB3FD6" w:rsidRDefault="00D35454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6586A4F1" w14:textId="77777777" w:rsidR="00BB3FD6" w:rsidRDefault="00D35454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F662" w14:textId="77777777" w:rsidR="00BB3FD6" w:rsidRDefault="00D35454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450228F7" w14:textId="77777777" w:rsidR="00BB3FD6" w:rsidRDefault="00D35454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A7C7" w14:textId="77777777" w:rsidR="00BB3FD6" w:rsidRDefault="00D35454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1"/>
    <w:rsid w:val="00401E7E"/>
    <w:rsid w:val="00941C41"/>
    <w:rsid w:val="00BB3FD6"/>
    <w:rsid w:val="00D35454"/>
    <w:rsid w:val="00D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0AC902"/>
  <w15:docId w15:val="{F73674DC-08FC-47FF-B2CD-C9A9377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1c73147012b111efbcbfb318996800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daacfea02ea711edb4cae1b158f98ea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800F-5490-4ECA-9292-4C8D8A36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 skyrius</vt:lpstr>
      <vt:lpstr>VI skyrius</vt:lpstr>
    </vt:vector>
  </TitlesOfParts>
  <Company>Hewlett-Packard</Company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skyrius</dc:title>
  <dc:creator>Rima</dc:creator>
  <cp:lastModifiedBy>Juliana Dunovska</cp:lastModifiedBy>
  <cp:revision>3</cp:revision>
  <cp:lastPrinted>2015-09-10T08:38:00Z</cp:lastPrinted>
  <dcterms:created xsi:type="dcterms:W3CDTF">2024-05-21T06:26:00Z</dcterms:created>
  <dcterms:modified xsi:type="dcterms:W3CDTF">2024-05-21T06:28:00Z</dcterms:modified>
</cp:coreProperties>
</file>